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D6D65">
        <w:rPr>
          <w:sz w:val="28"/>
          <w:szCs w:val="28"/>
        </w:rPr>
        <w:t xml:space="preserve">Сведения о кассовых оборотах структурных подразделений банков Горецкого района за январь-сентябрь 2013-2014 </w:t>
      </w:r>
      <w:r w:rsidR="006D6D65" w:rsidRPr="006D6D65">
        <w:rPr>
          <w:sz w:val="28"/>
          <w:szCs w:val="28"/>
        </w:rPr>
        <w:t xml:space="preserve">гг. </w:t>
      </w:r>
      <w:r w:rsidRPr="006D6D65">
        <w:rPr>
          <w:sz w:val="28"/>
          <w:szCs w:val="28"/>
        </w:rPr>
        <w:t>(с учетом корректировки на суммы вывезенной/ввезенной</w:t>
      </w:r>
      <w:r w:rsidR="006D6D65" w:rsidRPr="006D6D65">
        <w:rPr>
          <w:sz w:val="28"/>
          <w:szCs w:val="28"/>
        </w:rPr>
        <w:t xml:space="preserve"> </w:t>
      </w:r>
      <w:r w:rsidRPr="006D6D65">
        <w:rPr>
          <w:sz w:val="28"/>
          <w:szCs w:val="28"/>
        </w:rPr>
        <w:t>проинкассированкой выручки)</w:t>
      </w:r>
    </w:p>
    <w:p w:rsidR="008F77F1" w:rsidRDefault="008F77F1">
      <w:pPr>
        <w:pStyle w:val="a7"/>
        <w:framePr w:wrap="notBeside" w:vAnchor="text" w:hAnchor="text" w:xAlign="center" w:y="1"/>
        <w:shd w:val="clear" w:color="auto" w:fill="auto"/>
        <w:spacing w:line="150" w:lineRule="exact"/>
        <w:jc w:val="center"/>
      </w:pPr>
      <w:r>
        <w:t>млн. руб.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0"/>
        <w:gridCol w:w="792"/>
        <w:gridCol w:w="926"/>
        <w:gridCol w:w="562"/>
        <w:gridCol w:w="576"/>
        <w:gridCol w:w="600"/>
        <w:gridCol w:w="653"/>
      </w:tblGrid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Факт прошлого года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Факт текущего года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Темп роста (%)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Уд. вес статьи (по обороту)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пр.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тек.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откл.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Приход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Поступления от реализации товаров и оказания платных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445283.0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515391.1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115.7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61.8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65.3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3.5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Поступления на тек. (расч.) банк, счета и банк, вклады (депозиты) физических лиц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102 603.4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97 622.2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95.1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14.2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12.4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-1.8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Поступления на счета организаций</w:t>
            </w:r>
            <w:r w:rsidR="006D6D65" w:rsidRPr="006D6D65">
              <w:rPr>
                <w:sz w:val="16"/>
                <w:szCs w:val="16"/>
              </w:rPr>
              <w:t xml:space="preserve"> </w:t>
            </w:r>
            <w:r w:rsidRPr="006D6D65">
              <w:rPr>
                <w:sz w:val="16"/>
                <w:szCs w:val="16"/>
              </w:rPr>
              <w:t>Министерства</w:t>
            </w:r>
            <w:r w:rsidR="006D6D65" w:rsidRPr="006D6D65">
              <w:rPr>
                <w:sz w:val="16"/>
                <w:szCs w:val="16"/>
              </w:rPr>
              <w:t xml:space="preserve"> </w:t>
            </w:r>
            <w:r w:rsidRPr="006D6D65">
              <w:rPr>
                <w:sz w:val="16"/>
                <w:szCs w:val="16"/>
              </w:rPr>
              <w:t>связи и информатизации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10 987.8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15 085.0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137.3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0.4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Поступление наличных денег на счета индивидуальных предпринимателей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19 540.5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23 483.1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120.2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2.7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3.0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0.3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- на счета индивидуальных предпринимателей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15 083.7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17 658.2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117.1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2.1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2.2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0.1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- п</w:t>
            </w:r>
            <w:r w:rsidR="006D6D65" w:rsidRPr="006D6D65">
              <w:rPr>
                <w:sz w:val="16"/>
                <w:szCs w:val="16"/>
              </w:rPr>
              <w:t>р</w:t>
            </w:r>
            <w:r w:rsidRPr="006D6D65">
              <w:rPr>
                <w:sz w:val="16"/>
                <w:szCs w:val="16"/>
              </w:rPr>
              <w:t>очие поступления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4 456.8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5 824.9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130.7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0.1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Поступления наличных денег от проведения валютно-обменных операций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105 223.9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94 215.5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89.5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14.6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11.9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-2.7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Прочие поступления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37 229.0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43 936.1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118.0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5.6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0.4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Итого по приходу (по обороту)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720867.6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789733.0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109.6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Итого по приходу (по сальдо)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709879.8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774648.0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109.1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Расход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зарплату и на прочие выплаты и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45 722.2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38 709.5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84.7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4.4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-1.3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расчеты между юрлицами и инд. предпринимателями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506.5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0.1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выплату пенсий, пособий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2 627.2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1 535.9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58.5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-0.1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проведение валютно-обменных операций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86 869.9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109 286.9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125.8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10.9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12.6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1.7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со счетов индивидуальных предпринимателей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3 221.3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3 034.8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94.2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-0.1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наличных денег с текущих (расчетных) банковских счетов физических лиц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445 041.3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512 471.9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115.2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55.9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58.9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3.0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с банковских вкладов физических лиц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113 120.6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102 465.2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90.6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14.2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11.8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-2.4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подкреплений организациям Министерства связи и информатизации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88 805.0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96 710.0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108.9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11.1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11.1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0.0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другие цели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11372.7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5 840.0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51.4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1.4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0.7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-0.7</w:t>
            </w: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Итого по расходу (по обороту)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796 780.2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6D6D65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8</w:t>
            </w:r>
            <w:r w:rsidR="008F77F1" w:rsidRPr="006D6D65">
              <w:rPr>
                <w:sz w:val="16"/>
                <w:szCs w:val="16"/>
              </w:rPr>
              <w:t>70 560.7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109.3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 xml:space="preserve">100. </w:t>
            </w:r>
            <w:r w:rsidR="006D6D65" w:rsidRPr="006D6D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Итого по расходу (по сальдо)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785 792.4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855 475.7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108.9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Эмиссионный показатель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75912.6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80827.7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106.5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Удельный вес эмиссии в кассовом расходе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97.8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Наличный денежный оборот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1517647.8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1660293.7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D65">
              <w:rPr>
                <w:rFonts w:ascii="Times New Roman" w:hAnsi="Times New Roman" w:cs="Times New Roman"/>
                <w:sz w:val="16"/>
                <w:szCs w:val="16"/>
              </w:rPr>
              <w:t>109.4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F77F1" w:rsidRPr="006D6D65" w:rsidTr="006D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D6D65">
              <w:rPr>
                <w:sz w:val="16"/>
                <w:szCs w:val="16"/>
              </w:rPr>
              <w:t>Выдачи на соц. значимые цели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585 417.0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6D6D65">
              <w:t>652462.1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D6D65">
              <w:t>111.5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7F1" w:rsidRPr="006D6D65" w:rsidRDefault="008F77F1" w:rsidP="006D6D6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8F77F1" w:rsidRDefault="008F77F1">
      <w:pPr>
        <w:rPr>
          <w:color w:val="auto"/>
          <w:sz w:val="2"/>
          <w:szCs w:val="2"/>
        </w:rPr>
      </w:pPr>
    </w:p>
    <w:p w:rsidR="008F77F1" w:rsidRDefault="008F77F1">
      <w:pPr>
        <w:pStyle w:val="a8"/>
        <w:shd w:val="clear" w:color="auto" w:fill="auto"/>
        <w:spacing w:before="30" w:line="200" w:lineRule="exact"/>
        <w:ind w:left="120" w:firstLine="0"/>
        <w:jc w:val="left"/>
        <w:sectPr w:rsidR="008F77F1">
          <w:footerReference w:type="even" r:id="rId7"/>
          <w:footerReference w:type="default" r:id="rId8"/>
          <w:pgSz w:w="8390" w:h="11905"/>
          <w:pgMar w:top="547" w:right="560" w:bottom="830" w:left="362" w:header="0" w:footer="3" w:gutter="0"/>
          <w:cols w:space="720"/>
          <w:noEndnote/>
          <w:docGrid w:linePitch="360"/>
        </w:sectPr>
      </w:pPr>
    </w:p>
    <w:p w:rsidR="008F77F1" w:rsidRPr="006D6D65" w:rsidRDefault="008F77F1" w:rsidP="006D6D65">
      <w:pPr>
        <w:pStyle w:val="13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lastRenderedPageBreak/>
        <w:t>Рекомендации по организации работы субъектов хозяйствования с ветхой денежной наличностью.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В последнее время сложились тенденции в наличном денежном обращении, связанные с увеличением в структуре наличных денег количества ветхих банкнот в обращении и недостаточностью банкнот для размена в организациях торговли и сервиса.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При организации работы с денежной наличностью субъекты хозяйствования должны учитывать следующее.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rStyle w:val="1pt"/>
          <w:sz w:val="28"/>
          <w:szCs w:val="28"/>
        </w:rPr>
        <w:t>1.</w:t>
      </w:r>
      <w:r w:rsidR="006D6D65" w:rsidRPr="006D6D65">
        <w:rPr>
          <w:rStyle w:val="1pt"/>
          <w:sz w:val="28"/>
          <w:szCs w:val="28"/>
        </w:rPr>
        <w:t xml:space="preserve"> </w:t>
      </w:r>
      <w:r w:rsidRPr="006D6D65">
        <w:rPr>
          <w:rStyle w:val="1pt"/>
          <w:sz w:val="28"/>
          <w:szCs w:val="28"/>
        </w:rPr>
        <w:t>В</w:t>
      </w:r>
      <w:r w:rsidRPr="006D6D65">
        <w:rPr>
          <w:sz w:val="28"/>
          <w:szCs w:val="28"/>
        </w:rPr>
        <w:t xml:space="preserve"> соответствии с пунктом 37 Правил продажи отдельных видов товаров и осуществления общественного питания, утвержденных постановлением Совета Министров Республики Беларусь от 22 июля 2014 г. № 703, продавец обязан принимать от покупателей ветхие купюры, которые не допускаются к дальнейшему обращению.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В соответствии с главой III выпуска 1 ЕКСД "Должности служащих для всех видов деятельности", утвержденного постановлением Министерства труда Республики Беларусь от 30.12.1999 № 159, в должностные обязанности кассира входит составление описей ветхих купюр, а также соответствующих документов для их передачи в учреждения банка с целью замены их на новые банкноты.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Согласно части 3 пункта 23 Инструкции о порядке ведения кассовых операций и порядке расчетов наличными денежными средствами в белорусских рублях на территории Республики Беларусь, утвержденной постановлением правления Национального банка Республики Беларусь от 29 марта 2011г. №107 (далее-Инструкция № 107), кассиры, уполномоченные лица, индивидуальные предприниматели принимают к оплате за товары (работы, услуги) ветхие банкноты и сдают их в банк.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Таким образом, кассиры, уполномоченные лица, индивидуальные предприниматели обязаны не допускать выдачу сдачи покупателям ветхими банкнотами, а должны сдавать ветхие банкноты в банк в составе денежной выручки.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Пунктом 23 Инструкции № 107 уточняется, что к ветхим банкнотам относятся банкноты, имеющие повреждения, указанные в подпункте 1.1 пункта 1 приложения 1 к Инструкции о порядке определения платежности и обмена банкнот Национального банка Республики Беларусь, утвержденной постановлением Правления Национального банка Республики Беларусь от 6 июня 2011г. №211 (далее - Инструкция № 211).К ветхим банкнотам относятся платежные банкноты, имеющие силу законного платежного средства на территории Республики Беларусь (в том числе изымаемые из обращения), не имеющие признаков подделки и имеющие повреждения следующего характера: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физический износ в виде общей загрязненности банкноты, загрязненных линий перегибов бумаги, разволокнения краев банкноты и закругления ее углов;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jc w:val="left"/>
        <w:rPr>
          <w:sz w:val="28"/>
          <w:szCs w:val="28"/>
        </w:rPr>
      </w:pPr>
      <w:r w:rsidRPr="006D6D65">
        <w:rPr>
          <w:sz w:val="28"/>
          <w:szCs w:val="28"/>
        </w:rPr>
        <w:t>потемнение банкнотной бумаги; потертости;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jc w:val="left"/>
        <w:rPr>
          <w:sz w:val="28"/>
          <w:szCs w:val="28"/>
        </w:rPr>
      </w:pPr>
      <w:r w:rsidRPr="006D6D65">
        <w:rPr>
          <w:sz w:val="28"/>
          <w:szCs w:val="28"/>
        </w:rPr>
        <w:t>надрывы, в том числе склеенные прозрачной липкой лентой; небольшие отверстия, проколы, утраченные углы и края; пятна, посторонние надписи, оттиски штампов и их фрагментов.</w:t>
      </w:r>
    </w:p>
    <w:p w:rsidR="008F77F1" w:rsidRPr="006D6D65" w:rsidRDefault="008F77F1" w:rsidP="006D6D65">
      <w:pPr>
        <w:pStyle w:val="a8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lastRenderedPageBreak/>
        <w:t>Пунктом 23 Инструкции №107 обращено внимание, что не подлежат приему кассирами, уполномоченными лицами, индивидуальными предпринимателями неплатежные банкноты, указанные в пункте 2 приложения 1 к Инструкции №211, а также банкноты указанные в подпункте 1.2 пункта 1 приложения 1 к Инструкции №211, имеющие повреждения следующего характера: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банкноты, сохранившие не менее 55 процентов от первоначальной площади, в том числе банкноты, склеенные из частей (без учета их количества), безусловно принадлежащих одной банкноте;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изменившие окраску и свечение в ультрафиолетовых лучах, поврежденные огнем, водой, другими жидкостями или химикатами, в случае, если эти повреждения не препятствуют определению подлинности банкнот;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изменившие в результате воздействия агрессивных сред первоначальные размеры как в сторону увеличения, так и в сторону уменьшения банкноты.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Таким образом, организации торговли и сервиса, индивидуальные предприниматели, реализующие на территории Республики Беларусь товары (работы, услуги) за наличные белорусские рубли, не должны принимать в качестве оплаты за товары, работы и услуги банкноты с указными выше повреждениями, а должны направлять покупателей в банки для возможного их обмена на годные.</w:t>
      </w:r>
    </w:p>
    <w:p w:rsidR="008F77F1" w:rsidRPr="006D6D65" w:rsidRDefault="008F77F1" w:rsidP="006D6D65">
      <w:pPr>
        <w:pStyle w:val="a8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Организации торговли и сервиса, индивидуальные предприниматели, реализующие на территории Республики Беларусь товары (работы, услуги) за наличные белорусские рубли, должны сдавать ветхие банкноты в банки в составе денежной выручки или обменивать на годные банкноты при сдаче выручки службе инкассации банка, либо при сдаче выручки в банк самостоятельно.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Банки обязаны обеспечить с 1 сентября 2014 г. при обращении клиентов беспрепятственный обмен ветхих банкнот мелких и средних номиналов на годные банкноты мелких и средних номиналов независимо от их суммы и без взимания платы за обмен.</w:t>
      </w:r>
    </w:p>
    <w:p w:rsidR="008F77F1" w:rsidRPr="006D6D65" w:rsidRDefault="008F77F1" w:rsidP="006D6D65">
      <w:pPr>
        <w:pStyle w:val="9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D6D65">
        <w:rPr>
          <w:sz w:val="28"/>
          <w:szCs w:val="28"/>
        </w:rPr>
        <w:t>Возможные варианты взаимодействия субъектов хозяйствования с обслуживающими банками по обмену ветхих банкнот.</w:t>
      </w:r>
    </w:p>
    <w:p w:rsidR="008F77F1" w:rsidRPr="006D6D65" w:rsidRDefault="008F77F1" w:rsidP="006D6D65">
      <w:pPr>
        <w:pStyle w:val="1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6D65">
        <w:rPr>
          <w:sz w:val="28"/>
          <w:szCs w:val="28"/>
        </w:rPr>
        <w:t>I. Ветхие банкноты сдаются в составе выручки без оформления описи через службу инкассации банка или непосредственно в банк самостоятельно.</w:t>
      </w:r>
    </w:p>
    <w:p w:rsidR="008F77F1" w:rsidRPr="006D6D65" w:rsidRDefault="008F77F1" w:rsidP="006D6D65">
      <w:pPr>
        <w:pStyle w:val="a8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Юридические лица оформляют расходный кассовый ордер на всю сумму сдаваемых в банк наличных денег. Подразделения юридических лиц, индивидуальные предприниматели, юридические лица, применяющие упрощенную систему налогообложения в соответствии с законодательством и ведущие учет в книге доходов и расходов, учиняют запись в книге кассира и иных документах в соответствии с учетной политикой.</w:t>
      </w:r>
    </w:p>
    <w:p w:rsidR="008F77F1" w:rsidRPr="006D6D65" w:rsidRDefault="008F77F1" w:rsidP="006D6D65">
      <w:pPr>
        <w:pStyle w:val="a8"/>
        <w:numPr>
          <w:ilvl w:val="1"/>
          <w:numId w:val="1"/>
        </w:numPr>
        <w:shd w:val="clear" w:color="auto" w:fill="auto"/>
        <w:tabs>
          <w:tab w:val="left" w:pos="70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Банк сортирует сданные наличные деньги и в последующем выдает годные банкноты взамен ветхих по чеку или заявлению на получение наличных денег. В качестве цели расходования получаемых наличных денег клиент указывает в документах "обмен ветхих банкнот на годные". Банк присваивает код отчетных данных 2053 "Выдачи наличных денег на другие цели".</w:t>
      </w:r>
    </w:p>
    <w:p w:rsidR="008F77F1" w:rsidRPr="006D6D65" w:rsidRDefault="008F77F1" w:rsidP="006D6D65">
      <w:pPr>
        <w:pStyle w:val="1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6D65">
        <w:rPr>
          <w:sz w:val="28"/>
          <w:szCs w:val="28"/>
        </w:rPr>
        <w:t>П. Обмен ветхих банкнот при инкассации выручки (в случае составления описи).</w:t>
      </w:r>
    </w:p>
    <w:p w:rsidR="008F77F1" w:rsidRPr="006D6D65" w:rsidRDefault="008F77F1" w:rsidP="006D6D65">
      <w:pPr>
        <w:pStyle w:val="a8"/>
        <w:numPr>
          <w:ilvl w:val="2"/>
          <w:numId w:val="1"/>
        </w:numPr>
        <w:shd w:val="clear" w:color="auto" w:fill="auto"/>
        <w:tabs>
          <w:tab w:val="left" w:pos="68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Ветхие банкноты формируются отдельно и составляется опись ветхих банкнот.</w:t>
      </w:r>
    </w:p>
    <w:p w:rsidR="008F77F1" w:rsidRPr="006D6D65" w:rsidRDefault="008F77F1" w:rsidP="006D6D65">
      <w:pPr>
        <w:pStyle w:val="a8"/>
        <w:numPr>
          <w:ilvl w:val="2"/>
          <w:numId w:val="1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В банк предварительно направляется заявка на доставку денежной наличности службой инкассации взамен имеющейся суммы ветхих с указанием номиналов до 20 ООО рублей включительно. При этом оговаривается день проведения обмена ветхих банкнот.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На сумму сдаваемых в банк ветхих банкнот для обмена на годные в случае ведения кассовой книги выписывается отдельный расходный кассовый ордер. Подразделения юридических лиц, индивидуальные предприниматели, юридические лица, применяющие упрощенную систему налогообложения в соответствии с законодательством и ведущие учет в книге доходов и расходов, учиняют запись в книге кассира и иных документах в соответствии с учетной политикой.</w:t>
      </w:r>
    </w:p>
    <w:p w:rsidR="008F77F1" w:rsidRPr="006D6D65" w:rsidRDefault="008F77F1" w:rsidP="006D6D65">
      <w:pPr>
        <w:pStyle w:val="1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6D65">
        <w:rPr>
          <w:sz w:val="28"/>
          <w:szCs w:val="28"/>
        </w:rPr>
        <w:t>III. Обмен ветхих банкнот при сдаче выручки в банк самостоятельно (в случае составления описи).</w:t>
      </w:r>
    </w:p>
    <w:p w:rsidR="008F77F1" w:rsidRPr="006D6D65" w:rsidRDefault="008F77F1" w:rsidP="006D6D65">
      <w:pPr>
        <w:pStyle w:val="a8"/>
        <w:numPr>
          <w:ilvl w:val="3"/>
          <w:numId w:val="1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Ветхие банкноты формируются отдельно с составлением описи ветхих банкнот.</w:t>
      </w:r>
    </w:p>
    <w:p w:rsidR="008F77F1" w:rsidRPr="006D6D65" w:rsidRDefault="008F77F1" w:rsidP="006D6D65">
      <w:pPr>
        <w:pStyle w:val="a8"/>
        <w:numPr>
          <w:ilvl w:val="3"/>
          <w:numId w:val="1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На сумму наличных денег, предназначенных для сдачи выручки и обмена ветхих банкнот на годные, в случае ведения кассовой книги выписывается один расходный кассовый ордер с указанием отдельно суммы годных и отдельно суммы ветхих банкнот. Подразделения юридических лиц, индивидуальные предприниматели, юридические лица, применяющие упрощенную систему налогообложения в соответствии с законодательством и ведущие учет в книге доходов и расходов, учиняют запись в книге кассира и иных документах в соответствии с учетной политикой.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3. Банк меняет ветхие банкноты на годные, банкноты номиналом до 20 ООО рублей включительно.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Юридические лица на сумму годных банкнот, полученных в банке взамен ветхих банкнот, оформляют приходный кассовый ордер.</w:t>
      </w:r>
    </w:p>
    <w:p w:rsidR="008F77F1" w:rsidRPr="006D6D65" w:rsidRDefault="008F77F1" w:rsidP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6D65">
        <w:rPr>
          <w:sz w:val="28"/>
          <w:szCs w:val="28"/>
        </w:rPr>
        <w:t>Порядок взаимодействия субъектов хозяйствования по обмену ветхих банкнот определяются по соглас</w:t>
      </w:r>
      <w:r w:rsidR="006D6D65" w:rsidRPr="006D6D65">
        <w:rPr>
          <w:sz w:val="28"/>
          <w:szCs w:val="28"/>
        </w:rPr>
        <w:t>ованию с обслуживающими банками.</w:t>
      </w:r>
    </w:p>
    <w:p w:rsidR="006D6D65" w:rsidRPr="006D6D65" w:rsidRDefault="006D6D65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</w:p>
    <w:sectPr w:rsidR="006D6D65" w:rsidRPr="006D6D65" w:rsidSect="006D6D65">
      <w:headerReference w:type="even" r:id="rId9"/>
      <w:headerReference w:type="default" r:id="rId10"/>
      <w:pgSz w:w="11907" w:h="16840" w:code="9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BC" w:rsidRDefault="001008BC">
      <w:r>
        <w:separator/>
      </w:r>
    </w:p>
  </w:endnote>
  <w:endnote w:type="continuationSeparator" w:id="1">
    <w:p w:rsidR="001008BC" w:rsidRDefault="0010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5" w:rsidRDefault="006D6D65">
    <w:pPr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5" w:rsidRDefault="006D6D65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BC" w:rsidRDefault="001008BC">
      <w:r>
        <w:separator/>
      </w:r>
    </w:p>
  </w:footnote>
  <w:footnote w:type="continuationSeparator" w:id="1">
    <w:p w:rsidR="001008BC" w:rsidRDefault="0010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5" w:rsidRDefault="006D6D65">
    <w:pPr>
      <w:pStyle w:val="a5"/>
      <w:framePr w:w="7964" w:h="115" w:wrap="none" w:vAnchor="text" w:hAnchor="page" w:x="214" w:y="688"/>
      <w:shd w:val="clear" w:color="auto" w:fill="auto"/>
      <w:ind w:left="4013"/>
    </w:pPr>
    <w:fldSimple w:instr=" PAGE \* MERGEFORMAT ">
      <w:r w:rsidRPr="006D6D65">
        <w:rPr>
          <w:rStyle w:val="75pt"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5" w:rsidRDefault="006D6D65">
    <w:pPr>
      <w:pStyle w:val="a5"/>
      <w:framePr w:h="144" w:wrap="none" w:vAnchor="text" w:hAnchor="page" w:x="1143" w:y="1042"/>
      <w:shd w:val="clear" w:color="auto" w:fill="auto"/>
      <w:jc w:val="center"/>
    </w:pPr>
    <w:fldSimple w:instr=" PAGE \* MERGEFORMAT ">
      <w:r w:rsidRPr="006D6D65">
        <w:rPr>
          <w:rStyle w:val="75pt"/>
        </w:rPr>
        <w:t>3</w:t>
      </w:r>
    </w:fldSimple>
  </w:p>
  <w:p w:rsidR="006D6D65" w:rsidRDefault="006D6D65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14D0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ttachedTemplate r:id="rId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08BC"/>
    <w:rsid w:val="001008BC"/>
    <w:rsid w:val="0034437B"/>
    <w:rsid w:val="0044451B"/>
    <w:rsid w:val="005F14A8"/>
    <w:rsid w:val="006D6D65"/>
    <w:rsid w:val="008F77F1"/>
    <w:rsid w:val="00BF59CE"/>
    <w:rsid w:val="00C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5pt">
    <w:name w:val="Колонтитул + 7.5 pt"/>
    <w:aliases w:val="Полужирный"/>
    <w:basedOn w:val="a4"/>
    <w:uiPriority w:val="99"/>
    <w:rPr>
      <w:b/>
      <w:bCs/>
      <w:sz w:val="15"/>
      <w:szCs w:val="15"/>
    </w:rPr>
  </w:style>
  <w:style w:type="character" w:customStyle="1" w:styleId="20">
    <w:name w:val="Основной текст (2)"/>
    <w:basedOn w:val="2"/>
    <w:uiPriority w:val="99"/>
    <w:rPr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10pt">
    <w:name w:val="Основной текст (4) + 10 pt"/>
    <w:basedOn w:val="4"/>
    <w:uiPriority w:val="99"/>
    <w:rPr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ahoma" w:hAnsi="Tahoma" w:cs="Tahoma"/>
      <w:i/>
      <w:iCs/>
      <w:noProof/>
      <w:sz w:val="77"/>
      <w:szCs w:val="77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paragraph" w:customStyle="1" w:styleId="6">
    <w:name w:val="Основной текст (6)"/>
    <w:basedOn w:val="a"/>
    <w:link w:val="60"/>
    <w:uiPriority w:val="99"/>
    <w:pPr>
      <w:shd w:val="clear" w:color="auto" w:fill="FFFFFF"/>
      <w:spacing w:line="163" w:lineRule="exact"/>
      <w:ind w:firstLine="260"/>
    </w:pPr>
    <w:rPr>
      <w:rFonts w:ascii="Times New Roman" w:hAnsi="Times New Roman" w:cs="Times New Roman"/>
      <w:color w:val="auto"/>
      <w:spacing w:val="-10"/>
      <w:sz w:val="16"/>
      <w:szCs w:val="16"/>
    </w:rPr>
  </w:style>
  <w:style w:type="character" w:customStyle="1" w:styleId="60">
    <w:name w:val="Основной текст (6)_"/>
    <w:basedOn w:val="a0"/>
    <w:link w:val="6"/>
    <w:uiPriority w:val="99"/>
    <w:locked/>
    <w:rPr>
      <w:rFonts w:ascii="Times New Roman" w:hAnsi="Times New Roman" w:cs="Times New Roman"/>
      <w:spacing w:val="-10"/>
      <w:sz w:val="16"/>
      <w:szCs w:val="16"/>
    </w:rPr>
  </w:style>
  <w:style w:type="character" w:customStyle="1" w:styleId="8">
    <w:name w:val="Основной текст (8)_"/>
    <w:basedOn w:val="a0"/>
    <w:link w:val="80"/>
    <w:uiPriority w:val="99"/>
    <w:locked/>
    <w:rPr>
      <w:rFonts w:cs="Times New Roman"/>
      <w:spacing w:val="0"/>
      <w:sz w:val="11"/>
      <w:szCs w:val="11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90">
    <w:name w:val="Основной текст (9)"/>
    <w:basedOn w:val="9"/>
    <w:uiPriority w:val="99"/>
    <w:rPr>
      <w:u w:val="singl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Times New Roman" w:hAnsi="Times New Roman" w:cs="Times New Roman"/>
      <w:sz w:val="11"/>
      <w:szCs w:val="11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2pt">
    <w:name w:val="Основной текст (3) + Интервал 2 pt"/>
    <w:basedOn w:val="3"/>
    <w:uiPriority w:val="99"/>
    <w:rPr>
      <w:spacing w:val="4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Bookman Old Style" w:hAnsi="Bookman Old Style" w:cs="Bookman Old Style"/>
      <w:spacing w:val="0"/>
      <w:sz w:val="10"/>
      <w:szCs w:val="10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pt">
    <w:name w:val="Основной текст + Интервал 1 pt"/>
    <w:basedOn w:val="6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pt1">
    <w:name w:val="Основной текст + Интервал 1 pt1"/>
    <w:basedOn w:val="6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8BookmanOldStyle">
    <w:name w:val="Основной текст (8) + Bookman Old Style"/>
    <w:aliases w:val="4 pt,Полужирный1,Курсив"/>
    <w:basedOn w:val="8"/>
    <w:uiPriority w:val="9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89pt">
    <w:name w:val="Основной текст (8) + Интервал 9 pt"/>
    <w:basedOn w:val="8"/>
    <w:uiPriority w:val="99"/>
    <w:rPr>
      <w:spacing w:val="180"/>
    </w:rPr>
  </w:style>
  <w:style w:type="character" w:customStyle="1" w:styleId="8Tahoma">
    <w:name w:val="Основной текст (8) + Tahoma"/>
    <w:aliases w:val="4 pt1,Курсив1"/>
    <w:basedOn w:val="8"/>
    <w:uiPriority w:val="99"/>
    <w:rPr>
      <w:rFonts w:ascii="Tahoma" w:hAnsi="Tahoma" w:cs="Tahoma"/>
      <w:i/>
      <w:iCs/>
      <w:sz w:val="8"/>
      <w:szCs w:val="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3" w:lineRule="exact"/>
    </w:pPr>
    <w:rPr>
      <w:rFonts w:ascii="Times New Roman" w:hAnsi="Times New Roman" w:cs="Times New Roman"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ahoma" w:hAnsi="Tahoma" w:cs="Tahoma"/>
      <w:i/>
      <w:iCs/>
      <w:noProof/>
      <w:color w:val="auto"/>
      <w:sz w:val="77"/>
      <w:szCs w:val="7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163" w:lineRule="exact"/>
      <w:ind w:hanging="16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120" w:lineRule="exact"/>
      <w:jc w:val="center"/>
    </w:pPr>
    <w:rPr>
      <w:color w:val="auto"/>
      <w:sz w:val="11"/>
      <w:szCs w:val="11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before="840" w:after="360" w:line="139" w:lineRule="exac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11">
    <w:name w:val="Заголовок №1"/>
    <w:basedOn w:val="a"/>
    <w:link w:val="1"/>
    <w:uiPriority w:val="99"/>
    <w:pPr>
      <w:shd w:val="clear" w:color="auto" w:fill="FFFFFF"/>
      <w:spacing w:before="360" w:line="240" w:lineRule="atLeast"/>
      <w:outlineLvl w:val="0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color w:val="auto"/>
      <w:sz w:val="10"/>
      <w:szCs w:val="1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300" w:after="180" w:line="226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300" w:after="180" w:line="240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keeva_EL\&#1056;&#1072;&#1073;&#1086;&#1095;&#1080;&#1081;%20&#1089;&#1090;&#1086;&#1083;\&#1053;&#1040;%20&#1057;&#1040;&#1049;&#1058;\1886%202-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1886 2-20</Template>
  <TotalTime>0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Anikeeva_EL</dc:creator>
  <cp:keywords/>
  <dc:description/>
  <cp:lastModifiedBy>Anikeeva_EL</cp:lastModifiedBy>
  <cp:revision>1</cp:revision>
  <dcterms:created xsi:type="dcterms:W3CDTF">2014-11-19T13:51:00Z</dcterms:created>
  <dcterms:modified xsi:type="dcterms:W3CDTF">2014-11-19T13:51:00Z</dcterms:modified>
</cp:coreProperties>
</file>